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1021"/>
        <w:gridCol w:w="617"/>
        <w:gridCol w:w="830"/>
        <w:gridCol w:w="963"/>
        <w:gridCol w:w="697"/>
        <w:gridCol w:w="830"/>
        <w:gridCol w:w="830"/>
        <w:gridCol w:w="830"/>
        <w:gridCol w:w="830"/>
        <w:gridCol w:w="915"/>
        <w:gridCol w:w="745"/>
        <w:gridCol w:w="830"/>
        <w:gridCol w:w="977"/>
        <w:gridCol w:w="567"/>
        <w:gridCol w:w="116"/>
        <w:gridCol w:w="830"/>
        <w:gridCol w:w="830"/>
        <w:gridCol w:w="830"/>
      </w:tblGrid>
      <w:tr w:rsidR="0004411B" w:rsidRPr="00700CE4" w:rsidTr="00800B38">
        <w:tc>
          <w:tcPr>
            <w:tcW w:w="534" w:type="dxa"/>
            <w:vMerge w:val="restart"/>
          </w:tcPr>
          <w:p w:rsidR="0004411B" w:rsidRPr="00700CE4" w:rsidRDefault="00F647BF" w:rsidP="00F208CE">
            <w:pPr>
              <w:jc w:val="center"/>
              <w:rPr>
                <w:b/>
                <w:sz w:val="22"/>
                <w:szCs w:val="14"/>
              </w:rPr>
            </w:pPr>
            <w:r w:rsidRPr="00700CE4">
              <w:rPr>
                <w:b/>
                <w:sz w:val="22"/>
                <w:szCs w:val="14"/>
              </w:rPr>
              <w:t>Y4</w:t>
            </w:r>
          </w:p>
        </w:tc>
        <w:tc>
          <w:tcPr>
            <w:tcW w:w="2630" w:type="dxa"/>
            <w:gridSpan w:val="3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b/>
                <w:sz w:val="22"/>
                <w:szCs w:val="14"/>
              </w:rPr>
            </w:pPr>
            <w:r w:rsidRPr="00700CE4">
              <w:rPr>
                <w:b/>
                <w:sz w:val="22"/>
                <w:szCs w:val="14"/>
              </w:rPr>
              <w:t>Term 1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b/>
                <w:sz w:val="22"/>
                <w:szCs w:val="14"/>
              </w:rPr>
            </w:pPr>
            <w:r w:rsidRPr="00700CE4">
              <w:rPr>
                <w:b/>
                <w:sz w:val="22"/>
                <w:szCs w:val="14"/>
              </w:rPr>
              <w:t>Term 2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b/>
                <w:sz w:val="22"/>
                <w:szCs w:val="14"/>
              </w:rPr>
            </w:pPr>
            <w:r w:rsidRPr="00700CE4">
              <w:rPr>
                <w:b/>
                <w:sz w:val="22"/>
                <w:szCs w:val="14"/>
              </w:rPr>
              <w:t>Term 3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b/>
                <w:sz w:val="22"/>
                <w:szCs w:val="14"/>
              </w:rPr>
            </w:pPr>
            <w:r w:rsidRPr="00700CE4">
              <w:rPr>
                <w:b/>
                <w:sz w:val="22"/>
                <w:szCs w:val="14"/>
              </w:rPr>
              <w:t>Term 4</w:t>
            </w:r>
          </w:p>
        </w:tc>
        <w:tc>
          <w:tcPr>
            <w:tcW w:w="2490" w:type="dxa"/>
            <w:gridSpan w:val="4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b/>
                <w:sz w:val="22"/>
                <w:szCs w:val="14"/>
              </w:rPr>
            </w:pPr>
            <w:r w:rsidRPr="00700CE4">
              <w:rPr>
                <w:b/>
                <w:sz w:val="22"/>
                <w:szCs w:val="14"/>
              </w:rPr>
              <w:t>Term 5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b/>
                <w:sz w:val="22"/>
                <w:szCs w:val="14"/>
              </w:rPr>
            </w:pPr>
            <w:r w:rsidRPr="00700CE4">
              <w:rPr>
                <w:b/>
                <w:sz w:val="22"/>
                <w:szCs w:val="14"/>
              </w:rPr>
              <w:t>Term 6</w:t>
            </w:r>
          </w:p>
        </w:tc>
      </w:tr>
      <w:tr w:rsidR="0004411B" w:rsidRPr="00700CE4" w:rsidTr="00800B38">
        <w:tc>
          <w:tcPr>
            <w:tcW w:w="534" w:type="dxa"/>
            <w:vMerge/>
          </w:tcPr>
          <w:p w:rsidR="0004411B" w:rsidRPr="00700CE4" w:rsidRDefault="0004411B" w:rsidP="00F208CE">
            <w:pPr>
              <w:jc w:val="center"/>
              <w:rPr>
                <w:b/>
                <w:sz w:val="22"/>
                <w:szCs w:val="14"/>
              </w:rPr>
            </w:pPr>
          </w:p>
        </w:tc>
        <w:tc>
          <w:tcPr>
            <w:tcW w:w="5120" w:type="dxa"/>
            <w:gridSpan w:val="6"/>
            <w:shd w:val="clear" w:color="auto" w:fill="D9D9D9" w:themeFill="background1" w:themeFillShade="D9"/>
          </w:tcPr>
          <w:p w:rsidR="0004411B" w:rsidRPr="00700CE4" w:rsidRDefault="00FB0EC2" w:rsidP="00F208CE">
            <w:pPr>
              <w:jc w:val="center"/>
              <w:rPr>
                <w:b/>
                <w:sz w:val="22"/>
                <w:szCs w:val="14"/>
              </w:rPr>
            </w:pPr>
            <w:r w:rsidRPr="00700CE4">
              <w:rPr>
                <w:b/>
                <w:sz w:val="22"/>
                <w:szCs w:val="14"/>
              </w:rPr>
              <w:t>What are the achievements of the Ancient Egyptians</w:t>
            </w:r>
            <w:r w:rsidR="0004411B" w:rsidRPr="00700CE4">
              <w:rPr>
                <w:b/>
                <w:sz w:val="22"/>
                <w:szCs w:val="14"/>
              </w:rPr>
              <w:t xml:space="preserve">? </w:t>
            </w:r>
            <w:r w:rsidR="0004411B" w:rsidRPr="00700CE4">
              <w:rPr>
                <w:sz w:val="22"/>
                <w:szCs w:val="14"/>
              </w:rPr>
              <w:t>(Egypt)</w:t>
            </w:r>
          </w:p>
        </w:tc>
        <w:tc>
          <w:tcPr>
            <w:tcW w:w="4980" w:type="dxa"/>
            <w:gridSpan w:val="6"/>
            <w:shd w:val="clear" w:color="auto" w:fill="D9D9D9" w:themeFill="background1" w:themeFillShade="D9"/>
          </w:tcPr>
          <w:p w:rsidR="0004411B" w:rsidRPr="00700CE4" w:rsidRDefault="00FB0EC2" w:rsidP="004815AD">
            <w:pPr>
              <w:jc w:val="center"/>
              <w:rPr>
                <w:b/>
                <w:sz w:val="22"/>
                <w:szCs w:val="14"/>
              </w:rPr>
            </w:pPr>
            <w:r w:rsidRPr="00700CE4">
              <w:rPr>
                <w:b/>
                <w:sz w:val="22"/>
                <w:szCs w:val="14"/>
              </w:rPr>
              <w:t>How do we know the Roman empire was here</w:t>
            </w:r>
            <w:r w:rsidR="0004411B" w:rsidRPr="00700CE4">
              <w:rPr>
                <w:b/>
                <w:sz w:val="22"/>
                <w:szCs w:val="14"/>
              </w:rPr>
              <w:t xml:space="preserve">? </w:t>
            </w:r>
            <w:r w:rsidR="0004411B" w:rsidRPr="00700CE4">
              <w:rPr>
                <w:sz w:val="22"/>
                <w:szCs w:val="14"/>
              </w:rPr>
              <w:t>(Romans)</w:t>
            </w:r>
          </w:p>
        </w:tc>
        <w:tc>
          <w:tcPr>
            <w:tcW w:w="4980" w:type="dxa"/>
            <w:gridSpan w:val="7"/>
            <w:shd w:val="clear" w:color="auto" w:fill="D9D9D9" w:themeFill="background1" w:themeFillShade="D9"/>
          </w:tcPr>
          <w:p w:rsidR="0004411B" w:rsidRPr="00700CE4" w:rsidRDefault="00FB0EC2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b/>
                <w:sz w:val="22"/>
                <w:szCs w:val="14"/>
              </w:rPr>
              <w:t>Where in the world do they speak Spanish?</w:t>
            </w:r>
          </w:p>
        </w:tc>
      </w:tr>
      <w:tr w:rsidR="0004411B" w:rsidRPr="00700CE4" w:rsidTr="00F647BF">
        <w:tc>
          <w:tcPr>
            <w:tcW w:w="534" w:type="dxa"/>
            <w:vMerge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04411B" w:rsidRPr="00700CE4" w:rsidRDefault="00800B38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N</w:t>
            </w:r>
            <w:r w:rsidR="0004411B" w:rsidRPr="00700CE4">
              <w:rPr>
                <w:sz w:val="22"/>
                <w:szCs w:val="14"/>
              </w:rPr>
              <w:t>F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</w:t>
            </w:r>
          </w:p>
        </w:tc>
        <w:tc>
          <w:tcPr>
            <w:tcW w:w="617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</w:t>
            </w:r>
          </w:p>
        </w:tc>
        <w:tc>
          <w:tcPr>
            <w:tcW w:w="963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NF</w:t>
            </w:r>
          </w:p>
        </w:tc>
        <w:tc>
          <w:tcPr>
            <w:tcW w:w="697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NF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800B38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N</w:t>
            </w:r>
            <w:r w:rsidR="0004411B" w:rsidRPr="00700CE4">
              <w:rPr>
                <w:sz w:val="22"/>
                <w:szCs w:val="14"/>
              </w:rPr>
              <w:t>F</w:t>
            </w:r>
          </w:p>
        </w:tc>
        <w:tc>
          <w:tcPr>
            <w:tcW w:w="915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</w:t>
            </w:r>
          </w:p>
        </w:tc>
        <w:tc>
          <w:tcPr>
            <w:tcW w:w="745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</w:t>
            </w:r>
          </w:p>
        </w:tc>
        <w:tc>
          <w:tcPr>
            <w:tcW w:w="977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NF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P</w:t>
            </w:r>
          </w:p>
        </w:tc>
        <w:tc>
          <w:tcPr>
            <w:tcW w:w="946" w:type="dxa"/>
            <w:gridSpan w:val="2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NF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jc w:val="center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P</w:t>
            </w:r>
          </w:p>
        </w:tc>
      </w:tr>
      <w:tr w:rsidR="0004411B" w:rsidRPr="00700CE4" w:rsidTr="00F647BF">
        <w:trPr>
          <w:trHeight w:val="263"/>
        </w:trPr>
        <w:tc>
          <w:tcPr>
            <w:tcW w:w="534" w:type="dxa"/>
            <w:vMerge w:val="restart"/>
            <w:textDirection w:val="btLr"/>
            <w:vAlign w:val="center"/>
          </w:tcPr>
          <w:p w:rsidR="0004411B" w:rsidRPr="00700CE4" w:rsidRDefault="0004411B" w:rsidP="00F208CE">
            <w:pPr>
              <w:ind w:left="113" w:right="113"/>
              <w:rPr>
                <w:sz w:val="22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textDirection w:val="btLr"/>
            <w:vAlign w:val="center"/>
          </w:tcPr>
          <w:p w:rsidR="0004411B" w:rsidRPr="00700CE4" w:rsidRDefault="005632BE" w:rsidP="00F208CE">
            <w:pPr>
              <w:ind w:left="113" w:right="113"/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617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963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697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915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745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977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Focus</w:t>
            </w:r>
          </w:p>
        </w:tc>
        <w:tc>
          <w:tcPr>
            <w:tcW w:w="946" w:type="dxa"/>
            <w:gridSpan w:val="2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04411B" w:rsidRPr="00700CE4" w:rsidRDefault="0004411B" w:rsidP="00F208CE">
            <w:pPr>
              <w:rPr>
                <w:sz w:val="22"/>
                <w:szCs w:val="14"/>
              </w:rPr>
            </w:pPr>
            <w:r w:rsidRPr="00700CE4">
              <w:rPr>
                <w:sz w:val="22"/>
                <w:szCs w:val="14"/>
              </w:rPr>
              <w:t>Focus</w:t>
            </w:r>
          </w:p>
        </w:tc>
      </w:tr>
      <w:tr w:rsidR="00800B38" w:rsidRPr="00700CE4" w:rsidTr="00F647BF">
        <w:trPr>
          <w:trHeight w:val="1888"/>
        </w:trPr>
        <w:tc>
          <w:tcPr>
            <w:tcW w:w="534" w:type="dxa"/>
            <w:vMerge/>
          </w:tcPr>
          <w:p w:rsidR="00800B38" w:rsidRPr="00700CE4" w:rsidRDefault="00800B38" w:rsidP="00800B38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Holiday Resort</w:t>
            </w:r>
          </w:p>
        </w:tc>
        <w:tc>
          <w:tcPr>
            <w:tcW w:w="1021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The Journey</w:t>
            </w:r>
          </w:p>
        </w:tc>
        <w:tc>
          <w:tcPr>
            <w:tcW w:w="617" w:type="dxa"/>
            <w:vMerge w:val="restart"/>
            <w:textDirection w:val="btLr"/>
            <w:vAlign w:val="center"/>
          </w:tcPr>
          <w:p w:rsidR="00800B38" w:rsidRPr="00700CE4" w:rsidRDefault="00800B38" w:rsidP="00A34962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Cheops</w:t>
            </w:r>
          </w:p>
        </w:tc>
        <w:tc>
          <w:tcPr>
            <w:tcW w:w="963" w:type="dxa"/>
            <w:textDirection w:val="btLr"/>
            <w:vAlign w:val="center"/>
          </w:tcPr>
          <w:p w:rsidR="00800B38" w:rsidRPr="00700CE4" w:rsidRDefault="0045232C" w:rsidP="00800B38">
            <w:pPr>
              <w:ind w:left="113" w:right="113"/>
              <w:rPr>
                <w:sz w:val="14"/>
                <w:szCs w:val="14"/>
              </w:rPr>
            </w:pPr>
            <w:r w:rsidRPr="0045232C">
              <w:rPr>
                <w:sz w:val="14"/>
                <w:szCs w:val="14"/>
              </w:rPr>
              <w:t>How did the Ancient Egyptians Worship Anubis?</w:t>
            </w:r>
            <w:bookmarkStart w:id="0" w:name="_GoBack"/>
            <w:bookmarkEnd w:id="0"/>
          </w:p>
        </w:tc>
        <w:tc>
          <w:tcPr>
            <w:tcW w:w="697" w:type="dxa"/>
            <w:vMerge w:val="restart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Rhyming Couplets</w:t>
            </w: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Sulius</w:t>
            </w: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The Reign has stopped on JC time as Emperor</w:t>
            </w:r>
          </w:p>
        </w:tc>
        <w:tc>
          <w:tcPr>
            <w:tcW w:w="830" w:type="dxa"/>
            <w:vMerge w:val="restart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How to win a battle with the Celts.</w:t>
            </w:r>
          </w:p>
        </w:tc>
        <w:tc>
          <w:tcPr>
            <w:tcW w:w="915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The Canal</w:t>
            </w:r>
          </w:p>
        </w:tc>
        <w:tc>
          <w:tcPr>
            <w:tcW w:w="745" w:type="dxa"/>
            <w:vMerge w:val="restart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Shape Poems</w:t>
            </w: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The Iron Man (extract)</w:t>
            </w:r>
          </w:p>
        </w:tc>
        <w:tc>
          <w:tcPr>
            <w:tcW w:w="977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What Shall We Do With The Iron Man?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Imagery Poems</w:t>
            </w:r>
          </w:p>
        </w:tc>
        <w:tc>
          <w:tcPr>
            <w:tcW w:w="946" w:type="dxa"/>
            <w:gridSpan w:val="2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The Lost Polar Bear</w:t>
            </w: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The Great Panda</w:t>
            </w:r>
          </w:p>
        </w:tc>
        <w:tc>
          <w:tcPr>
            <w:tcW w:w="830" w:type="dxa"/>
            <w:vMerge w:val="restart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Haiku Poems</w:t>
            </w:r>
          </w:p>
        </w:tc>
      </w:tr>
      <w:tr w:rsidR="00800B38" w:rsidRPr="00700CE4" w:rsidTr="009C6F85">
        <w:trPr>
          <w:trHeight w:val="101"/>
        </w:trPr>
        <w:tc>
          <w:tcPr>
            <w:tcW w:w="534" w:type="dxa"/>
            <w:vMerge/>
          </w:tcPr>
          <w:p w:rsidR="00800B38" w:rsidRPr="00700CE4" w:rsidRDefault="00800B38" w:rsidP="00800B38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Genre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617" w:type="dxa"/>
            <w:vMerge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Genre</w:t>
            </w:r>
          </w:p>
        </w:tc>
        <w:tc>
          <w:tcPr>
            <w:tcW w:w="963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Genre</w:t>
            </w:r>
          </w:p>
        </w:tc>
        <w:tc>
          <w:tcPr>
            <w:tcW w:w="697" w:type="dxa"/>
            <w:vMerge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Genre</w:t>
            </w:r>
          </w:p>
        </w:tc>
        <w:tc>
          <w:tcPr>
            <w:tcW w:w="830" w:type="dxa"/>
            <w:vMerge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Genre</w:t>
            </w:r>
          </w:p>
        </w:tc>
        <w:tc>
          <w:tcPr>
            <w:tcW w:w="915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Genre</w:t>
            </w:r>
          </w:p>
        </w:tc>
        <w:tc>
          <w:tcPr>
            <w:tcW w:w="977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Genre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946" w:type="dxa"/>
            <w:gridSpan w:val="2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Genre</w:t>
            </w:r>
          </w:p>
        </w:tc>
        <w:tc>
          <w:tcPr>
            <w:tcW w:w="830" w:type="dxa"/>
            <w:vMerge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</w:tr>
      <w:tr w:rsidR="00800B38" w:rsidRPr="00700CE4" w:rsidTr="00F647BF">
        <w:trPr>
          <w:trHeight w:val="544"/>
        </w:trPr>
        <w:tc>
          <w:tcPr>
            <w:tcW w:w="534" w:type="dxa"/>
            <w:vMerge/>
            <w:vAlign w:val="center"/>
          </w:tcPr>
          <w:p w:rsidR="00800B38" w:rsidRPr="00700CE4" w:rsidRDefault="00800B38" w:rsidP="00800B3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</w:t>
            </w:r>
          </w:p>
        </w:tc>
        <w:tc>
          <w:tcPr>
            <w:tcW w:w="1021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J</w:t>
            </w:r>
          </w:p>
        </w:tc>
        <w:tc>
          <w:tcPr>
            <w:tcW w:w="617" w:type="dxa"/>
            <w:vMerge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Wi</w:t>
            </w:r>
          </w:p>
        </w:tc>
        <w:tc>
          <w:tcPr>
            <w:tcW w:w="963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E</w:t>
            </w:r>
          </w:p>
        </w:tc>
        <w:tc>
          <w:tcPr>
            <w:tcW w:w="697" w:type="dxa"/>
            <w:vMerge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P/R</w:t>
            </w:r>
          </w:p>
        </w:tc>
        <w:tc>
          <w:tcPr>
            <w:tcW w:w="830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R</w:t>
            </w:r>
          </w:p>
        </w:tc>
        <w:tc>
          <w:tcPr>
            <w:tcW w:w="830" w:type="dxa"/>
            <w:vMerge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I</w:t>
            </w:r>
          </w:p>
        </w:tc>
        <w:tc>
          <w:tcPr>
            <w:tcW w:w="915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Wa</w:t>
            </w:r>
          </w:p>
        </w:tc>
        <w:tc>
          <w:tcPr>
            <w:tcW w:w="745" w:type="dxa"/>
            <w:vMerge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BTM</w:t>
            </w:r>
          </w:p>
        </w:tc>
        <w:tc>
          <w:tcPr>
            <w:tcW w:w="977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D</w:t>
            </w:r>
          </w:p>
        </w:tc>
        <w:tc>
          <w:tcPr>
            <w:tcW w:w="567" w:type="dxa"/>
            <w:vMerge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46" w:type="dxa"/>
            <w:gridSpan w:val="2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L/F</w:t>
            </w:r>
          </w:p>
        </w:tc>
        <w:tc>
          <w:tcPr>
            <w:tcW w:w="830" w:type="dxa"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NC</w:t>
            </w:r>
          </w:p>
        </w:tc>
        <w:tc>
          <w:tcPr>
            <w:tcW w:w="830" w:type="dxa"/>
            <w:vMerge/>
            <w:vAlign w:val="center"/>
          </w:tcPr>
          <w:p w:rsidR="00800B38" w:rsidRPr="00700CE4" w:rsidRDefault="00800B38" w:rsidP="00800B38">
            <w:pPr>
              <w:jc w:val="center"/>
              <w:rPr>
                <w:sz w:val="14"/>
                <w:szCs w:val="14"/>
              </w:rPr>
            </w:pPr>
          </w:p>
        </w:tc>
      </w:tr>
      <w:tr w:rsidR="00800B38" w:rsidRPr="00700CE4" w:rsidTr="00F647BF">
        <w:trPr>
          <w:trHeight w:val="158"/>
        </w:trPr>
        <w:tc>
          <w:tcPr>
            <w:tcW w:w="534" w:type="dxa"/>
            <w:vMerge/>
          </w:tcPr>
          <w:p w:rsidR="00800B38" w:rsidRPr="00700CE4" w:rsidRDefault="00800B38" w:rsidP="00800B38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Focus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617" w:type="dxa"/>
            <w:vMerge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Focus</w:t>
            </w:r>
          </w:p>
        </w:tc>
        <w:tc>
          <w:tcPr>
            <w:tcW w:w="963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Focus</w:t>
            </w:r>
          </w:p>
        </w:tc>
        <w:tc>
          <w:tcPr>
            <w:tcW w:w="697" w:type="dxa"/>
            <w:vMerge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Focus</w:t>
            </w:r>
          </w:p>
        </w:tc>
        <w:tc>
          <w:tcPr>
            <w:tcW w:w="830" w:type="dxa"/>
            <w:vMerge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Focus</w:t>
            </w:r>
          </w:p>
        </w:tc>
        <w:tc>
          <w:tcPr>
            <w:tcW w:w="915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Focus</w:t>
            </w:r>
          </w:p>
        </w:tc>
        <w:tc>
          <w:tcPr>
            <w:tcW w:w="977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Focus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  <w:tc>
          <w:tcPr>
            <w:tcW w:w="946" w:type="dxa"/>
            <w:gridSpan w:val="2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Focus</w:t>
            </w:r>
          </w:p>
        </w:tc>
        <w:tc>
          <w:tcPr>
            <w:tcW w:w="830" w:type="dxa"/>
            <w:vMerge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</w:tr>
      <w:tr w:rsidR="00800B38" w:rsidRPr="00700CE4" w:rsidTr="00F647BF">
        <w:trPr>
          <w:trHeight w:val="2398"/>
        </w:trPr>
        <w:tc>
          <w:tcPr>
            <w:tcW w:w="534" w:type="dxa"/>
            <w:vMerge/>
          </w:tcPr>
          <w:p w:rsidR="00800B38" w:rsidRPr="00700CE4" w:rsidRDefault="00800B38" w:rsidP="00800B38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Persuasive language Comparative and superlative</w:t>
            </w:r>
            <w:r w:rsidR="005F0158" w:rsidRPr="00700CE4">
              <w:rPr>
                <w:sz w:val="14"/>
                <w:szCs w:val="14"/>
              </w:rPr>
              <w:t xml:space="preserve"> </w:t>
            </w:r>
          </w:p>
          <w:p w:rsidR="005F0158" w:rsidRPr="00700CE4" w:rsidRDefault="005F0158" w:rsidP="00800B38">
            <w:pPr>
              <w:ind w:left="113" w:right="113"/>
              <w:rPr>
                <w:color w:val="0070C0"/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Main and subordinate clauses</w:t>
            </w:r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 xml:space="preserve"> apostrophes to mark possession</w:t>
            </w:r>
          </w:p>
        </w:tc>
        <w:tc>
          <w:tcPr>
            <w:tcW w:w="1021" w:type="dxa"/>
            <w:textDirection w:val="btLr"/>
            <w:vAlign w:val="center"/>
          </w:tcPr>
          <w:p w:rsidR="00800B3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Conjunctions</w:t>
            </w:r>
          </w:p>
          <w:p w:rsidR="005F0158" w:rsidRPr="00700CE4" w:rsidRDefault="005F0158" w:rsidP="00800B38">
            <w:pPr>
              <w:ind w:left="113" w:right="113"/>
              <w:rPr>
                <w:color w:val="0070C0"/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Expanded noun phrases</w:t>
            </w:r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 xml:space="preserve"> noun</w:t>
            </w:r>
            <w:r w:rsidR="00F647BF" w:rsidRPr="00700CE4">
              <w:rPr>
                <w:rFonts w:ascii="Avinir book" w:hAnsi="Avinir book" w:cs="Times New Roman"/>
                <w:sz w:val="14"/>
                <w:szCs w:val="14"/>
              </w:rPr>
              <w:t xml:space="preserve"> / </w:t>
            </w:r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>pronouns – appropriate choice</w:t>
            </w:r>
          </w:p>
        </w:tc>
        <w:tc>
          <w:tcPr>
            <w:tcW w:w="617" w:type="dxa"/>
            <w:vMerge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Preposition phrases</w:t>
            </w:r>
          </w:p>
          <w:p w:rsidR="005F015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Noun phrases</w:t>
            </w:r>
          </w:p>
          <w:p w:rsidR="005F015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Description</w:t>
            </w:r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 xml:space="preserve"> Adverbial phrase /</w:t>
            </w:r>
          </w:p>
        </w:tc>
        <w:tc>
          <w:tcPr>
            <w:tcW w:w="963" w:type="dxa"/>
            <w:textDirection w:val="btLr"/>
            <w:vAlign w:val="center"/>
          </w:tcPr>
          <w:p w:rsidR="00800B3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Possessive and contraction apostrophes</w:t>
            </w:r>
          </w:p>
          <w:p w:rsidR="005F015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Adverbs</w:t>
            </w:r>
          </w:p>
          <w:p w:rsidR="005F015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Prepositions</w:t>
            </w:r>
          </w:p>
        </w:tc>
        <w:tc>
          <w:tcPr>
            <w:tcW w:w="697" w:type="dxa"/>
            <w:vMerge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Fronted adverbials</w:t>
            </w:r>
          </w:p>
          <w:p w:rsidR="005F015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Senses/description</w:t>
            </w:r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 xml:space="preserve"> fronted adverbials</w:t>
            </w: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Speech</w:t>
            </w:r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 xml:space="preserve"> inverted commas, standard Eng verb inflections, pronoouns / nouns</w:t>
            </w:r>
          </w:p>
        </w:tc>
        <w:tc>
          <w:tcPr>
            <w:tcW w:w="830" w:type="dxa"/>
            <w:vMerge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Adverbials of time</w:t>
            </w:r>
          </w:p>
          <w:p w:rsidR="005F015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Imperative verbs</w:t>
            </w:r>
          </w:p>
        </w:tc>
        <w:tc>
          <w:tcPr>
            <w:tcW w:w="915" w:type="dxa"/>
            <w:textDirection w:val="btLr"/>
            <w:vAlign w:val="center"/>
          </w:tcPr>
          <w:p w:rsidR="00800B3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Warnings &amp; consequences</w:t>
            </w:r>
          </w:p>
          <w:p w:rsidR="005F015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Description</w:t>
            </w:r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 xml:space="preserve"> noun</w:t>
            </w:r>
            <w:r w:rsidR="00F647BF" w:rsidRPr="00700CE4">
              <w:rPr>
                <w:rFonts w:ascii="Avinir book" w:hAnsi="Avinir book" w:cs="Times New Roman"/>
                <w:sz w:val="14"/>
                <w:szCs w:val="14"/>
              </w:rPr>
              <w:t xml:space="preserve"> / </w:t>
            </w:r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>pronouns – appropriate choice</w:t>
            </w:r>
          </w:p>
        </w:tc>
        <w:tc>
          <w:tcPr>
            <w:tcW w:w="745" w:type="dxa"/>
            <w:vMerge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Character descriptions</w:t>
            </w:r>
          </w:p>
          <w:p w:rsidR="005F015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Possessive apostrophes</w:t>
            </w:r>
          </w:p>
        </w:tc>
        <w:tc>
          <w:tcPr>
            <w:tcW w:w="977" w:type="dxa"/>
            <w:textDirection w:val="btLr"/>
            <w:vAlign w:val="center"/>
          </w:tcPr>
          <w:p w:rsidR="00800B38" w:rsidRPr="00700CE4" w:rsidRDefault="005F0158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Debating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:rsidR="00800B38" w:rsidRPr="00700CE4" w:rsidRDefault="00800B38" w:rsidP="00800B38">
            <w:pPr>
              <w:ind w:left="113" w:right="113"/>
              <w:rPr>
                <w:sz w:val="14"/>
                <w:szCs w:val="14"/>
              </w:rPr>
            </w:pPr>
          </w:p>
        </w:tc>
        <w:tc>
          <w:tcPr>
            <w:tcW w:w="946" w:type="dxa"/>
            <w:gridSpan w:val="2"/>
            <w:textDirection w:val="btLr"/>
            <w:vAlign w:val="center"/>
          </w:tcPr>
          <w:p w:rsidR="00800B38" w:rsidRPr="00700CE4" w:rsidRDefault="00852467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Speech</w:t>
            </w:r>
          </w:p>
          <w:p w:rsidR="00852467" w:rsidRPr="00700CE4" w:rsidRDefault="00852467" w:rsidP="00800B38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Subordinate clauses (including drop-in)</w:t>
            </w:r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 xml:space="preserve"> plurals, possessive ‘s’, </w:t>
            </w:r>
            <w:proofErr w:type="spellStart"/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>aopstrophes</w:t>
            </w:r>
            <w:proofErr w:type="spellEnd"/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 xml:space="preserve"> -  </w:t>
            </w:r>
          </w:p>
        </w:tc>
        <w:tc>
          <w:tcPr>
            <w:tcW w:w="830" w:type="dxa"/>
            <w:textDirection w:val="btLr"/>
            <w:vAlign w:val="center"/>
          </w:tcPr>
          <w:p w:rsidR="00800B38" w:rsidRPr="00700CE4" w:rsidRDefault="00852467" w:rsidP="00852467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Pronouns</w:t>
            </w:r>
          </w:p>
          <w:p w:rsidR="00852467" w:rsidRPr="00700CE4" w:rsidRDefault="00852467" w:rsidP="00852467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Apostrophes</w:t>
            </w:r>
          </w:p>
          <w:p w:rsidR="00852467" w:rsidRPr="00700CE4" w:rsidRDefault="00852467" w:rsidP="00852467">
            <w:pPr>
              <w:ind w:left="113" w:right="113"/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 xml:space="preserve">Adverbials </w:t>
            </w:r>
            <w:r w:rsidR="00F647BF" w:rsidRPr="00700CE4">
              <w:rPr>
                <w:rFonts w:ascii="Avinir book" w:hAnsi="Avinir book" w:cs="Times New Roman"/>
                <w:color w:val="0070C0"/>
                <w:sz w:val="14"/>
                <w:szCs w:val="14"/>
              </w:rPr>
              <w:t xml:space="preserve">Possessive pronoun  </w:t>
            </w:r>
          </w:p>
        </w:tc>
        <w:tc>
          <w:tcPr>
            <w:tcW w:w="830" w:type="dxa"/>
            <w:vMerge/>
          </w:tcPr>
          <w:p w:rsidR="00800B38" w:rsidRPr="00700CE4" w:rsidRDefault="00800B38" w:rsidP="00800B38">
            <w:pPr>
              <w:rPr>
                <w:sz w:val="14"/>
                <w:szCs w:val="14"/>
              </w:rPr>
            </w:pPr>
          </w:p>
        </w:tc>
      </w:tr>
      <w:tr w:rsidR="0004411B" w:rsidRPr="00700CE4" w:rsidTr="00F647BF">
        <w:trPr>
          <w:cantSplit/>
          <w:trHeight w:val="1250"/>
        </w:trPr>
        <w:tc>
          <w:tcPr>
            <w:tcW w:w="534" w:type="dxa"/>
            <w:textDirection w:val="btLr"/>
          </w:tcPr>
          <w:p w:rsidR="0004411B" w:rsidRPr="00700CE4" w:rsidRDefault="0004411B" w:rsidP="00F208CE">
            <w:pPr>
              <w:ind w:left="113" w:right="113"/>
              <w:rPr>
                <w:sz w:val="14"/>
                <w:szCs w:val="14"/>
              </w:rPr>
            </w:pPr>
            <w:proofErr w:type="spellStart"/>
            <w:r w:rsidRPr="00700CE4">
              <w:rPr>
                <w:sz w:val="14"/>
                <w:szCs w:val="14"/>
              </w:rPr>
              <w:t>XCurric</w:t>
            </w:r>
            <w:proofErr w:type="spellEnd"/>
            <w:r w:rsidRPr="00700CE4">
              <w:rPr>
                <w:sz w:val="14"/>
                <w:szCs w:val="14"/>
              </w:rPr>
              <w:t>. link</w:t>
            </w:r>
          </w:p>
        </w:tc>
        <w:tc>
          <w:tcPr>
            <w:tcW w:w="2630" w:type="dxa"/>
            <w:gridSpan w:val="3"/>
          </w:tcPr>
          <w:p w:rsidR="0004411B" w:rsidRPr="00700CE4" w:rsidRDefault="0004411B" w:rsidP="00F208CE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Project links.</w:t>
            </w:r>
          </w:p>
          <w:p w:rsidR="005632BE" w:rsidRPr="00700CE4" w:rsidRDefault="005632BE" w:rsidP="00F208CE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Egyptians.</w:t>
            </w:r>
          </w:p>
        </w:tc>
        <w:tc>
          <w:tcPr>
            <w:tcW w:w="2490" w:type="dxa"/>
            <w:gridSpan w:val="3"/>
          </w:tcPr>
          <w:p w:rsidR="0004411B" w:rsidRPr="00700CE4" w:rsidRDefault="005632BE" w:rsidP="00F208CE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Project links.</w:t>
            </w:r>
          </w:p>
          <w:p w:rsidR="005632BE" w:rsidRPr="00700CE4" w:rsidRDefault="005632BE" w:rsidP="00F208CE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Egyptians.</w:t>
            </w:r>
          </w:p>
          <w:p w:rsidR="0004411B" w:rsidRPr="00700CE4" w:rsidRDefault="0004411B" w:rsidP="00F208CE">
            <w:pPr>
              <w:rPr>
                <w:sz w:val="14"/>
                <w:szCs w:val="14"/>
              </w:rPr>
            </w:pPr>
          </w:p>
        </w:tc>
        <w:tc>
          <w:tcPr>
            <w:tcW w:w="2490" w:type="dxa"/>
            <w:gridSpan w:val="3"/>
          </w:tcPr>
          <w:p w:rsidR="0004411B" w:rsidRPr="00700CE4" w:rsidRDefault="0004411B" w:rsidP="00F208CE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Project Links.</w:t>
            </w:r>
          </w:p>
          <w:p w:rsidR="0004411B" w:rsidRPr="00700CE4" w:rsidRDefault="005632BE" w:rsidP="00700CE4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Romans. Recount in project book.</w:t>
            </w:r>
          </w:p>
        </w:tc>
        <w:tc>
          <w:tcPr>
            <w:tcW w:w="2490" w:type="dxa"/>
            <w:gridSpan w:val="3"/>
          </w:tcPr>
          <w:p w:rsidR="0004411B" w:rsidRPr="00700CE4" w:rsidRDefault="0004411B" w:rsidP="00F208CE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Project links.</w:t>
            </w:r>
          </w:p>
          <w:p w:rsidR="005632BE" w:rsidRPr="00700CE4" w:rsidRDefault="005632BE" w:rsidP="005632BE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Romans.</w:t>
            </w:r>
          </w:p>
        </w:tc>
        <w:tc>
          <w:tcPr>
            <w:tcW w:w="2374" w:type="dxa"/>
            <w:gridSpan w:val="3"/>
          </w:tcPr>
          <w:p w:rsidR="0004411B" w:rsidRPr="00700CE4" w:rsidRDefault="0004411B" w:rsidP="00700CE4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Project links.</w:t>
            </w:r>
            <w:r w:rsidRPr="00700CE4">
              <w:rPr>
                <w:sz w:val="14"/>
                <w:szCs w:val="14"/>
              </w:rPr>
              <w:br/>
            </w:r>
            <w:r w:rsidR="00AE4E5D" w:rsidRPr="00700CE4">
              <w:rPr>
                <w:sz w:val="14"/>
                <w:szCs w:val="14"/>
              </w:rPr>
              <w:t>Focus on Spanish speaking countries</w:t>
            </w:r>
          </w:p>
        </w:tc>
        <w:tc>
          <w:tcPr>
            <w:tcW w:w="2606" w:type="dxa"/>
            <w:gridSpan w:val="4"/>
          </w:tcPr>
          <w:p w:rsidR="0004411B" w:rsidRPr="00700CE4" w:rsidRDefault="0004411B" w:rsidP="00F208CE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Project links.</w:t>
            </w:r>
          </w:p>
          <w:p w:rsidR="0004411B" w:rsidRPr="00700CE4" w:rsidRDefault="0004411B" w:rsidP="00F208CE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Environmental issues</w:t>
            </w:r>
            <w:r w:rsidR="00676D57" w:rsidRPr="00700CE4">
              <w:rPr>
                <w:sz w:val="14"/>
                <w:szCs w:val="14"/>
              </w:rPr>
              <w:t>.</w:t>
            </w:r>
          </w:p>
          <w:p w:rsidR="0004411B" w:rsidRPr="00700CE4" w:rsidRDefault="0004411B" w:rsidP="00F208CE">
            <w:pPr>
              <w:rPr>
                <w:sz w:val="14"/>
                <w:szCs w:val="14"/>
              </w:rPr>
            </w:pPr>
            <w:r w:rsidRPr="00700CE4">
              <w:rPr>
                <w:sz w:val="14"/>
                <w:szCs w:val="14"/>
              </w:rPr>
              <w:t>Science – Animals/Habitats</w:t>
            </w:r>
          </w:p>
        </w:tc>
      </w:tr>
      <w:tr w:rsidR="00F647BF" w:rsidRPr="00700CE4" w:rsidTr="00F647BF">
        <w:trPr>
          <w:cantSplit/>
          <w:trHeight w:val="737"/>
        </w:trPr>
        <w:tc>
          <w:tcPr>
            <w:tcW w:w="534" w:type="dxa"/>
            <w:shd w:val="clear" w:color="auto" w:fill="7030A0"/>
          </w:tcPr>
          <w:p w:rsidR="00F647BF" w:rsidRPr="00700CE4" w:rsidRDefault="00F647BF" w:rsidP="00F647BF">
            <w:pPr>
              <w:rPr>
                <w:rFonts w:ascii="Avinir book" w:hAnsi="Avinir book" w:cs="Times New Roman"/>
                <w:b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b/>
                <w:color w:val="FFFFFF" w:themeColor="background1"/>
                <w:sz w:val="14"/>
                <w:szCs w:val="14"/>
              </w:rPr>
              <w:t>READING KPIs</w:t>
            </w:r>
          </w:p>
        </w:tc>
        <w:tc>
          <w:tcPr>
            <w:tcW w:w="2630" w:type="dxa"/>
            <w:gridSpan w:val="3"/>
          </w:tcPr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A1, A2</w:t>
            </w:r>
          </w:p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B3, B4, B5</w:t>
            </w:r>
          </w:p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C1, C2, C3, C4, C5, C6</w:t>
            </w:r>
          </w:p>
        </w:tc>
        <w:tc>
          <w:tcPr>
            <w:tcW w:w="2490" w:type="dxa"/>
            <w:gridSpan w:val="3"/>
          </w:tcPr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B2, B5</w:t>
            </w:r>
          </w:p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C1, C2, C3, C5, C6, C7</w:t>
            </w:r>
          </w:p>
        </w:tc>
        <w:tc>
          <w:tcPr>
            <w:tcW w:w="2490" w:type="dxa"/>
            <w:gridSpan w:val="3"/>
          </w:tcPr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B2, B3, B4, B5</w:t>
            </w:r>
          </w:p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 xml:space="preserve"> C1, C2, C3, C4, C5, C6</w:t>
            </w:r>
          </w:p>
        </w:tc>
        <w:tc>
          <w:tcPr>
            <w:tcW w:w="2490" w:type="dxa"/>
            <w:gridSpan w:val="3"/>
          </w:tcPr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B3, B4, B5</w:t>
            </w:r>
          </w:p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C1, C2, C3, C4, C5, C6, C7</w:t>
            </w:r>
          </w:p>
        </w:tc>
        <w:tc>
          <w:tcPr>
            <w:tcW w:w="2374" w:type="dxa"/>
            <w:gridSpan w:val="3"/>
          </w:tcPr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B2 B3, B4, B5</w:t>
            </w:r>
          </w:p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C2, C3, C4, C5, C6</w:t>
            </w:r>
          </w:p>
        </w:tc>
        <w:tc>
          <w:tcPr>
            <w:tcW w:w="2606" w:type="dxa"/>
            <w:gridSpan w:val="4"/>
          </w:tcPr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B</w:t>
            </w:r>
            <w:proofErr w:type="gramStart"/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1 ,B</w:t>
            </w:r>
            <w:proofErr w:type="gramEnd"/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3, B4, B5</w:t>
            </w:r>
          </w:p>
          <w:p w:rsidR="00F647BF" w:rsidRPr="00700CE4" w:rsidRDefault="00F647BF" w:rsidP="00F647BF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7030A0"/>
                <w:sz w:val="14"/>
                <w:szCs w:val="14"/>
              </w:rPr>
              <w:t>C1, C2, C3, C4, C5, C6</w:t>
            </w:r>
          </w:p>
        </w:tc>
      </w:tr>
      <w:tr w:rsidR="00700CE4" w:rsidRPr="00700CE4" w:rsidTr="00CA4D73">
        <w:trPr>
          <w:cantSplit/>
          <w:trHeight w:val="737"/>
        </w:trPr>
        <w:tc>
          <w:tcPr>
            <w:tcW w:w="534" w:type="dxa"/>
            <w:shd w:val="clear" w:color="auto" w:fill="833C0B" w:themeFill="accent2" w:themeFillShade="80"/>
          </w:tcPr>
          <w:p w:rsidR="00700CE4" w:rsidRPr="00700CE4" w:rsidRDefault="00700CE4" w:rsidP="00700CE4">
            <w:pPr>
              <w:rPr>
                <w:rFonts w:ascii="Avinir book" w:hAnsi="Avinir book" w:cs="Times New Roman"/>
                <w:b/>
                <w:color w:val="FFFFFF" w:themeColor="background1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b/>
                <w:color w:val="FFFFFF" w:themeColor="background1"/>
                <w:sz w:val="14"/>
                <w:szCs w:val="14"/>
              </w:rPr>
              <w:t>NC+ over the year</w:t>
            </w:r>
          </w:p>
        </w:tc>
        <w:tc>
          <w:tcPr>
            <w:tcW w:w="2630" w:type="dxa"/>
            <w:gridSpan w:val="3"/>
          </w:tcPr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Transcription:</w:t>
            </w:r>
          </w:p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 xml:space="preserve"> - Spell further homophones</w:t>
            </w:r>
          </w:p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Spell words that are often misspelt (see NC English appendix 1 for specifics)</w:t>
            </w:r>
          </w:p>
        </w:tc>
        <w:tc>
          <w:tcPr>
            <w:tcW w:w="2490" w:type="dxa"/>
            <w:gridSpan w:val="3"/>
          </w:tcPr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Handwriting:</w:t>
            </w:r>
          </w:p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 xml:space="preserve"> - Use the diagonal and horizontal strokes that are needed to join letters and understand which letters, when adjacent to one another, are best left un</w:t>
            </w: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-</w:t>
            </w: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joined.</w:t>
            </w:r>
          </w:p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Increase the legibility, consistency and quality of their handwriting.</w:t>
            </w:r>
          </w:p>
        </w:tc>
        <w:tc>
          <w:tcPr>
            <w:tcW w:w="4980" w:type="dxa"/>
            <w:gridSpan w:val="6"/>
          </w:tcPr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proofErr w:type="gramStart"/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Composition:-</w:t>
            </w:r>
            <w:proofErr w:type="gramEnd"/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 xml:space="preserve">  discussing writing similar to that which they are planning to write in order to understand and learn from its structure, vocabulary and grammar</w:t>
            </w:r>
          </w:p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- discussing and recording ideas</w:t>
            </w:r>
          </w:p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- composing and rehearsing sentences, progressively building a varied and rich vocabulary and an increasing range of sentence structures (English Appendix 2)</w:t>
            </w:r>
          </w:p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read aloud their own writing, to a group or the whole class, using appropriate</w:t>
            </w:r>
          </w:p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intonation and controlling the tone and volume so that the meaning is clear.</w:t>
            </w:r>
          </w:p>
        </w:tc>
        <w:tc>
          <w:tcPr>
            <w:tcW w:w="4980" w:type="dxa"/>
            <w:gridSpan w:val="7"/>
          </w:tcPr>
          <w:p w:rsid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Vocabulary, grammar and punctuation:</w:t>
            </w:r>
          </w:p>
          <w:p w:rsid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</w:t>
            </w: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- </w:t>
            </w: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Terminology for pupils</w:t>
            </w: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.</w:t>
            </w:r>
          </w:p>
          <w:p w:rsid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700CE4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Determiner</w:t>
            </w:r>
          </w:p>
          <w:p w:rsid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Pronoun</w:t>
            </w:r>
          </w:p>
          <w:p w:rsid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Possessive pronoun</w:t>
            </w:r>
          </w:p>
          <w:p w:rsidR="00700CE4" w:rsidRPr="00700CE4" w:rsidRDefault="00700CE4" w:rsidP="00700CE4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adverbial</w:t>
            </w:r>
          </w:p>
        </w:tc>
      </w:tr>
    </w:tbl>
    <w:p w:rsidR="00700CE4" w:rsidRDefault="00700CE4" w:rsidP="0004411B">
      <w:pPr>
        <w:rPr>
          <w:b/>
          <w:sz w:val="14"/>
          <w:szCs w:val="14"/>
        </w:rPr>
      </w:pPr>
      <w:r>
        <w:rPr>
          <w:rFonts w:ascii="Avenir LT Std 35 Light" w:hAnsi="Avenir LT Std 35 Light"/>
          <w:b/>
          <w:noProof/>
          <w:sz w:val="16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F1A188" wp14:editId="2ECEE08F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4791075" cy="50482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0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00CE4" w:rsidRPr="00961CF0" w:rsidRDefault="00700CE4" w:rsidP="00700CE4">
                            <w:pPr>
                              <w:rPr>
                                <w:rFonts w:ascii="Avenir LT Std 35 Light" w:hAnsi="Avenir LT Std 35 Light"/>
                                <w:sz w:val="18"/>
                              </w:rPr>
                            </w:pPr>
                            <w:r w:rsidRPr="00961CF0">
                              <w:rPr>
                                <w:rFonts w:ascii="Avenir LT Std 35 Light" w:hAnsi="Avenir LT Std 35 Light"/>
                                <w:sz w:val="18"/>
                                <w:highlight w:val="yellow"/>
                              </w:rPr>
                              <w:t>NC+ = national curriculum requirements that must be fulfilled over the course of the year.</w:t>
                            </w:r>
                          </w:p>
                          <w:p w:rsidR="00700CE4" w:rsidRPr="00961CF0" w:rsidRDefault="00700CE4" w:rsidP="00700CE4">
                            <w:pPr>
                              <w:rPr>
                                <w:rFonts w:ascii="Avenir LT Std 35 Light" w:hAnsi="Avenir LT Std 35 Light"/>
                                <w:sz w:val="18"/>
                              </w:rPr>
                            </w:pPr>
                            <w:r w:rsidRPr="00961CF0">
                              <w:rPr>
                                <w:rFonts w:ascii="Avenir LT Std 35 Light" w:hAnsi="Avenir LT Std 35 Light"/>
                                <w:sz w:val="18"/>
                                <w:highlight w:val="lightGray"/>
                              </w:rPr>
                              <w:t>Genre codes and colour keys can be found on the last page of the overview document.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1A18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-.05pt;width:377.25pt;height:39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" fillcolor="white [3201]" stroked="f" strokeweight=".5pt">
                <v:textbox>
                  <w:txbxContent>
                    <w:p w:rsidR="00700CE4" w:rsidRPr="00961CF0" w:rsidRDefault="00700CE4" w:rsidP="00700CE4">
                      <w:pPr>
                        <w:rPr>
                          <w:rFonts w:ascii="Avenir LT Std 35 Light" w:hAnsi="Avenir LT Std 35 Light"/>
                          <w:sz w:val="18"/>
                        </w:rPr>
                      </w:pPr>
                      <w:r w:rsidRPr="00961CF0">
                        <w:rPr>
                          <w:rFonts w:ascii="Avenir LT Std 35 Light" w:hAnsi="Avenir LT Std 35 Light"/>
                          <w:sz w:val="18"/>
                          <w:highlight w:val="yellow"/>
                        </w:rPr>
                        <w:t>NC+ = national curriculum requirements that must be fulfilled over the course of the year.</w:t>
                      </w:r>
                    </w:p>
                    <w:p w:rsidR="00700CE4" w:rsidRPr="00961CF0" w:rsidRDefault="00700CE4" w:rsidP="00700CE4">
                      <w:pPr>
                        <w:rPr>
                          <w:rFonts w:ascii="Avenir LT Std 35 Light" w:hAnsi="Avenir LT Std 35 Light"/>
                          <w:sz w:val="18"/>
                        </w:rPr>
                      </w:pPr>
                      <w:r w:rsidRPr="00961CF0">
                        <w:rPr>
                          <w:rFonts w:ascii="Avenir LT Std 35 Light" w:hAnsi="Avenir LT Std 35 Light"/>
                          <w:sz w:val="18"/>
                          <w:highlight w:val="lightGray"/>
                        </w:rPr>
                        <w:t>Genre codes and colour keys can be found on the last page of the overview document.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00CE4" w:rsidRDefault="00700CE4" w:rsidP="00700CE4">
      <w:pPr>
        <w:rPr>
          <w:sz w:val="14"/>
          <w:szCs w:val="14"/>
        </w:rPr>
      </w:pPr>
    </w:p>
    <w:p w:rsidR="00700CE4" w:rsidRDefault="00700CE4" w:rsidP="00700CE4">
      <w:pPr>
        <w:rPr>
          <w:sz w:val="14"/>
          <w:szCs w:val="14"/>
        </w:rPr>
      </w:pPr>
    </w:p>
    <w:p w:rsidR="0004411B" w:rsidRPr="00700CE4" w:rsidRDefault="00700CE4" w:rsidP="00700CE4">
      <w:pPr>
        <w:tabs>
          <w:tab w:val="left" w:pos="9420"/>
        </w:tabs>
        <w:rPr>
          <w:sz w:val="14"/>
          <w:szCs w:val="14"/>
        </w:rPr>
        <w:sectPr w:rsidR="0004411B" w:rsidRPr="00700CE4" w:rsidSect="0004411B">
          <w:pgSz w:w="16838" w:h="11906" w:orient="landscape"/>
          <w:pgMar w:top="720" w:right="720" w:bottom="720" w:left="720" w:header="708" w:footer="708" w:gutter="0"/>
          <w:cols w:space="708"/>
          <w:docGrid w:linePitch="381"/>
        </w:sectPr>
      </w:pPr>
      <w:r>
        <w:rPr>
          <w:sz w:val="14"/>
          <w:szCs w:val="14"/>
        </w:rPr>
        <w:tab/>
      </w:r>
    </w:p>
    <w:p w:rsidR="0004411B" w:rsidRPr="00700CE4" w:rsidRDefault="00CD545B" w:rsidP="0004411B">
      <w:pPr>
        <w:rPr>
          <w:b/>
          <w:sz w:val="14"/>
          <w:szCs w:val="14"/>
        </w:rPr>
      </w:pPr>
      <w:r w:rsidRPr="00700CE4">
        <w:rPr>
          <w:rFonts w:ascii="Avinir book" w:hAnsi="Avinir book"/>
          <w:noProof/>
          <w:sz w:val="14"/>
          <w:szCs w:val="1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D14BF7" wp14:editId="7B5C25A2">
                <wp:simplePos x="0" y="0"/>
                <wp:positionH relativeFrom="margin">
                  <wp:posOffset>-2709726</wp:posOffset>
                </wp:positionH>
                <wp:positionV relativeFrom="paragraph">
                  <wp:posOffset>-6866074</wp:posOffset>
                </wp:positionV>
                <wp:extent cx="2892287" cy="1083365"/>
                <wp:effectExtent l="0" t="0" r="22860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2287" cy="10833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647BF" w:rsidRPr="00196B95" w:rsidRDefault="00F647BF" w:rsidP="00F647BF">
                            <w:pPr>
                              <w:rPr>
                                <w:rFonts w:ascii="Avinir book" w:eastAsia="Calibri" w:hAnsi="Avinir book" w:cs="Times New Roman"/>
                                <w:b/>
                                <w:sz w:val="22"/>
                              </w:rPr>
                            </w:pPr>
                            <w:r w:rsidRPr="00196B95">
                              <w:rPr>
                                <w:rFonts w:ascii="Avinir book" w:eastAsia="Calibri" w:hAnsi="Avinir book" w:cs="Times New Roman"/>
                                <w:b/>
                                <w:sz w:val="22"/>
                              </w:rPr>
                              <w:t>Colour key:</w:t>
                            </w:r>
                          </w:p>
                          <w:p w:rsidR="00F647BF" w:rsidRPr="00196B95" w:rsidRDefault="00F647BF" w:rsidP="00F647BF">
                            <w:pPr>
                              <w:rPr>
                                <w:rFonts w:ascii="Avinir book" w:eastAsia="Calibri" w:hAnsi="Avinir book" w:cs="Times New Roman"/>
                                <w:b/>
                                <w:sz w:val="22"/>
                              </w:rPr>
                            </w:pPr>
                            <w:r w:rsidRPr="00196B95">
                              <w:rPr>
                                <w:rFonts w:ascii="Avinir book" w:eastAsia="Calibri" w:hAnsi="Avinir book" w:cs="Times New Roman"/>
                                <w:b/>
                                <w:sz w:val="22"/>
                              </w:rPr>
                              <w:t>Black: T4W units</w:t>
                            </w:r>
                          </w:p>
                          <w:p w:rsidR="00F647BF" w:rsidRPr="00196B95" w:rsidRDefault="00F647BF" w:rsidP="00F647BF">
                            <w:pPr>
                              <w:rPr>
                                <w:rFonts w:ascii="Avinir book" w:eastAsia="Calibri" w:hAnsi="Avinir book" w:cs="Times New Roman"/>
                                <w:b/>
                                <w:color w:val="00B0F0"/>
                                <w:sz w:val="22"/>
                              </w:rPr>
                            </w:pPr>
                            <w:r w:rsidRPr="00196B95">
                              <w:rPr>
                                <w:rFonts w:ascii="Avinir book" w:eastAsia="Calibri" w:hAnsi="Avinir book" w:cs="Times New Roman"/>
                                <w:b/>
                                <w:color w:val="00B0F0"/>
                                <w:sz w:val="22"/>
                              </w:rPr>
                              <w:t>Blue: SPaG coverage</w:t>
                            </w:r>
                          </w:p>
                          <w:p w:rsidR="00F647BF" w:rsidRPr="00196B95" w:rsidRDefault="00F647BF" w:rsidP="00F647BF">
                            <w:pPr>
                              <w:rPr>
                                <w:rFonts w:ascii="Avinir book" w:eastAsia="Calibri" w:hAnsi="Avinir book" w:cs="Times New Roman"/>
                                <w:b/>
                                <w:color w:val="FF0000"/>
                                <w:sz w:val="22"/>
                              </w:rPr>
                            </w:pPr>
                            <w:r w:rsidRPr="00196B95">
                              <w:rPr>
                                <w:rFonts w:ascii="Avinir book" w:eastAsia="Calibri" w:hAnsi="Avinir book" w:cs="Times New Roman"/>
                                <w:b/>
                                <w:color w:val="FF0000"/>
                                <w:sz w:val="22"/>
                              </w:rPr>
                              <w:t>Red: SPaG covered in warm ups / separate phonics lessons (KS1)</w:t>
                            </w:r>
                          </w:p>
                          <w:p w:rsidR="00F647BF" w:rsidRPr="00196B95" w:rsidRDefault="00F647BF" w:rsidP="00F647BF">
                            <w:pPr>
                              <w:rPr>
                                <w:rFonts w:ascii="Avinir book" w:eastAsia="Calibri" w:hAnsi="Avinir book" w:cs="Times New Roman"/>
                                <w:color w:val="7030A0"/>
                                <w:sz w:val="22"/>
                              </w:rPr>
                            </w:pPr>
                            <w:r w:rsidRPr="00196B95">
                              <w:rPr>
                                <w:rFonts w:ascii="Avinir book" w:eastAsia="Calibri" w:hAnsi="Avinir book" w:cs="Times New Roman"/>
                                <w:b/>
                                <w:color w:val="7030A0"/>
                                <w:sz w:val="22"/>
                              </w:rPr>
                              <w:t>Purple: Reading KPIs</w:t>
                            </w:r>
                          </w:p>
                          <w:p w:rsidR="00F647BF" w:rsidRDefault="00F647BF" w:rsidP="00F647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14BF7" id="Text Box 5" o:spid="_x0000_s1027" type="#_x0000_t202" style="position:absolute;margin-left:-213.35pt;margin-top:-540.65pt;width:227.75pt;height:85.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" fillcolor="window" strokeweight=".5pt">
                <v:textbox>
                  <w:txbxContent>
                    <w:p w:rsidR="00F647BF" w:rsidRPr="00196B95" w:rsidRDefault="00F647BF" w:rsidP="00F647BF">
                      <w:pPr>
                        <w:rPr>
                          <w:rFonts w:ascii="Avinir book" w:eastAsia="Calibri" w:hAnsi="Avinir book" w:cs="Times New Roman"/>
                          <w:b/>
                          <w:sz w:val="22"/>
                        </w:rPr>
                      </w:pPr>
                      <w:r w:rsidRPr="00196B95">
                        <w:rPr>
                          <w:rFonts w:ascii="Avinir book" w:eastAsia="Calibri" w:hAnsi="Avinir book" w:cs="Times New Roman"/>
                          <w:b/>
                          <w:sz w:val="22"/>
                        </w:rPr>
                        <w:t>Colour key:</w:t>
                      </w:r>
                    </w:p>
                    <w:p w:rsidR="00F647BF" w:rsidRPr="00196B95" w:rsidRDefault="00F647BF" w:rsidP="00F647BF">
                      <w:pPr>
                        <w:rPr>
                          <w:rFonts w:ascii="Avinir book" w:eastAsia="Calibri" w:hAnsi="Avinir book" w:cs="Times New Roman"/>
                          <w:b/>
                          <w:sz w:val="22"/>
                        </w:rPr>
                      </w:pPr>
                      <w:r w:rsidRPr="00196B95">
                        <w:rPr>
                          <w:rFonts w:ascii="Avinir book" w:eastAsia="Calibri" w:hAnsi="Avinir book" w:cs="Times New Roman"/>
                          <w:b/>
                          <w:sz w:val="22"/>
                        </w:rPr>
                        <w:t>Black: T4W units</w:t>
                      </w:r>
                    </w:p>
                    <w:p w:rsidR="00F647BF" w:rsidRPr="00196B95" w:rsidRDefault="00F647BF" w:rsidP="00F647BF">
                      <w:pPr>
                        <w:rPr>
                          <w:rFonts w:ascii="Avinir book" w:eastAsia="Calibri" w:hAnsi="Avinir book" w:cs="Times New Roman"/>
                          <w:b/>
                          <w:color w:val="00B0F0"/>
                          <w:sz w:val="22"/>
                        </w:rPr>
                      </w:pPr>
                      <w:r w:rsidRPr="00196B95">
                        <w:rPr>
                          <w:rFonts w:ascii="Avinir book" w:eastAsia="Calibri" w:hAnsi="Avinir book" w:cs="Times New Roman"/>
                          <w:b/>
                          <w:color w:val="00B0F0"/>
                          <w:sz w:val="22"/>
                        </w:rPr>
                        <w:t>Blue: SPaG coverage</w:t>
                      </w:r>
                    </w:p>
                    <w:p w:rsidR="00F647BF" w:rsidRPr="00196B95" w:rsidRDefault="00F647BF" w:rsidP="00F647BF">
                      <w:pPr>
                        <w:rPr>
                          <w:rFonts w:ascii="Avinir book" w:eastAsia="Calibri" w:hAnsi="Avinir book" w:cs="Times New Roman"/>
                          <w:b/>
                          <w:color w:val="FF0000"/>
                          <w:sz w:val="22"/>
                        </w:rPr>
                      </w:pPr>
                      <w:r w:rsidRPr="00196B95">
                        <w:rPr>
                          <w:rFonts w:ascii="Avinir book" w:eastAsia="Calibri" w:hAnsi="Avinir book" w:cs="Times New Roman"/>
                          <w:b/>
                          <w:color w:val="FF0000"/>
                          <w:sz w:val="22"/>
                        </w:rPr>
                        <w:t>Red: SPaG covered in warm ups / separate phonics lessons (KS1)</w:t>
                      </w:r>
                    </w:p>
                    <w:p w:rsidR="00F647BF" w:rsidRPr="00196B95" w:rsidRDefault="00F647BF" w:rsidP="00F647BF">
                      <w:pPr>
                        <w:rPr>
                          <w:rFonts w:ascii="Avinir book" w:eastAsia="Calibri" w:hAnsi="Avinir book" w:cs="Times New Roman"/>
                          <w:color w:val="7030A0"/>
                          <w:sz w:val="22"/>
                        </w:rPr>
                      </w:pPr>
                      <w:r w:rsidRPr="00196B95">
                        <w:rPr>
                          <w:rFonts w:ascii="Avinir book" w:eastAsia="Calibri" w:hAnsi="Avinir book" w:cs="Times New Roman"/>
                          <w:b/>
                          <w:color w:val="7030A0"/>
                          <w:sz w:val="22"/>
                        </w:rPr>
                        <w:t>Purple: Reading KPIs</w:t>
                      </w:r>
                    </w:p>
                    <w:p w:rsidR="00F647BF" w:rsidRDefault="00F647BF" w:rsidP="00F647BF"/>
                  </w:txbxContent>
                </v:textbox>
                <w10:wrap anchorx="margin"/>
              </v:shape>
            </w:pict>
          </mc:Fallback>
        </mc:AlternateContent>
      </w:r>
    </w:p>
    <w:p w:rsidR="0004411B" w:rsidRPr="00700CE4" w:rsidRDefault="0004411B" w:rsidP="0004411B">
      <w:pPr>
        <w:rPr>
          <w:b/>
          <w:sz w:val="14"/>
          <w:szCs w:val="14"/>
        </w:rPr>
      </w:pPr>
    </w:p>
    <w:sectPr w:rsidR="0004411B" w:rsidRPr="00700CE4" w:rsidSect="000441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inir boo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71714"/>
    <w:multiLevelType w:val="hybridMultilevel"/>
    <w:tmpl w:val="6CC8AB44"/>
    <w:lvl w:ilvl="0" w:tplc="D0609068">
      <w:numFmt w:val="bullet"/>
      <w:lvlText w:val="-"/>
      <w:lvlJc w:val="left"/>
      <w:pPr>
        <w:ind w:left="390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11B"/>
    <w:rsid w:val="0004411B"/>
    <w:rsid w:val="0045232C"/>
    <w:rsid w:val="004815AD"/>
    <w:rsid w:val="005632BE"/>
    <w:rsid w:val="005F0158"/>
    <w:rsid w:val="00657F70"/>
    <w:rsid w:val="00676D57"/>
    <w:rsid w:val="00700CE4"/>
    <w:rsid w:val="00771345"/>
    <w:rsid w:val="00800B38"/>
    <w:rsid w:val="00852467"/>
    <w:rsid w:val="009C6F85"/>
    <w:rsid w:val="00A21FD4"/>
    <w:rsid w:val="00A34962"/>
    <w:rsid w:val="00A82AC4"/>
    <w:rsid w:val="00AA5CD4"/>
    <w:rsid w:val="00AE4E5D"/>
    <w:rsid w:val="00CD545B"/>
    <w:rsid w:val="00D93C10"/>
    <w:rsid w:val="00F647BF"/>
    <w:rsid w:val="00FB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28856F-4743-419B-B3CC-C2155D8AA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411B"/>
    <w:pPr>
      <w:spacing w:after="0" w:line="240" w:lineRule="auto"/>
    </w:pPr>
    <w:rPr>
      <w:rFonts w:ascii="SassoonPrimaryInfant" w:hAnsi="SassoonPrimaryInfant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411B"/>
    <w:pPr>
      <w:spacing w:after="0" w:line="240" w:lineRule="auto"/>
    </w:pPr>
    <w:rPr>
      <w:rFonts w:ascii="SassoonPrimaryInfant" w:hAnsi="SassoonPrimaryInfant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Calloway</dc:creator>
  <cp:keywords/>
  <dc:description/>
  <cp:lastModifiedBy>Alan Calloway</cp:lastModifiedBy>
  <cp:revision>2</cp:revision>
  <dcterms:created xsi:type="dcterms:W3CDTF">2024-12-02T14:02:00Z</dcterms:created>
  <dcterms:modified xsi:type="dcterms:W3CDTF">2024-12-02T14:02:00Z</dcterms:modified>
</cp:coreProperties>
</file>